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качеством закупок</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качеством закупок»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«Управление качеством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качеством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требования законодательства Российской Федерации и нормативных правовых актов, регулирующих деятельность в сфере закупок</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рассчитывать степень влияния ценообразующих параметров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обобщать полученную информацию, статистически ее обрабатывать и формулировать аналитические выводы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владеть навыками выявления ценообразующих параметров товаров, работ, услуг</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анализа диапазона цен и консультирование о диапазоне цен на товары, работы, услуги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«Управление качеством закупок»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электронных торгов (практикум)</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Консалтинг в сфере закупок</w:t>
            </w:r>
          </w:p>
          <w:p>
            <w:pPr>
              <w:jc w:val="center"/>
              <w:spacing w:after="0" w:line="240" w:lineRule="auto"/>
              <w:rPr>
                <w:sz w:val="22"/>
                <w:szCs w:val="22"/>
              </w:rPr>
            </w:pPr>
            <w:r>
              <w:rPr>
                <w:rFonts w:ascii="Times New Roman" w:hAnsi="Times New Roman" w:cs="Times New Roman"/>
                <w:color w:val="#000000"/>
                <w:sz w:val="22"/>
                <w:szCs w:val="22"/>
              </w:rPr>
              <w:t> Системный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p>
            <w:pPr>
              <w:jc w:val="center"/>
              <w:spacing w:after="0" w:line="240" w:lineRule="auto"/>
              <w:rPr>
                <w:sz w:val="24"/>
                <w:szCs w:val="24"/>
              </w:rPr>
            </w:pPr>
            <w:r>
              <w:rPr>
                <w:rFonts w:ascii="Times New Roman" w:hAnsi="Times New Roman" w:cs="Times New Roman"/>
                <w:color w:val="#000000"/>
                <w:sz w:val="24"/>
                <w:szCs w:val="24"/>
              </w:rPr>
              <w:t> курсовые работы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Российской Федерации о контрактной системе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контроль, аудит и защита прав и интересов участников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023.83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контрактной системы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и принципы контрактной системы. Участники контрактной системы, их права и обязанности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Российской Федерации о контрактной системе в сфере закупок</w:t>
            </w:r>
          </w:p>
        </w:tc>
      </w:tr>
      <w:tr>
        <w:trPr>
          <w:trHeight w:hRule="exact" w:val="277.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Действующая российская нормативная правовая база, регламентирующая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 услуг для обеспечения государственных и муниципальных нужд.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обоснование закупок</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 Централизованные закупки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 (подрядчиков, исполнителей): общая характеристика способов, основные правила выбора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заключения, исполнения, изменения и расторжения контрактов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контроль, аудит и защита прав и интересов участников закупок</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Мониторинг и аудит в сфере закупок. Общественный контроль и общественное обсуждение закупок</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Контрактная служба. Контрактные управляющие. Комиссия по осуществлению закупок 3. Информационное обеспечение контрактной системы в сфере закупок. Порядок организации электронного документооборота</w:t>
            </w:r>
          </w:p>
        </w:tc>
      </w:tr>
      <w:tr>
        <w:trPr>
          <w:trHeight w:hRule="exact" w:val="14.6995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правовые акты, принятые в развитие законодательства, регулирующего закупки товаров, работ, услуг для государственных и муниципальных нужд. Применение антимонопольного законодательства при осуществлении закупок товаров, работ и услуг</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начальной (максимальной) цены контракта, ее назначение, методы определения</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участникам закупки. Антидемпинговые меры при проведении конкурса и аукциона Правила описания объекта закупки. Порядок составления технического задания. Нормирование в сфере закупок</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Приемка продукции. Экспертиза результатов контракта и привлечение экспертов</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заказчиков, работников контрактных служб, контрактных управляющих, членов комиссий по осуществлению закупок за нарушение законодательства Российской Федерации в сфере закупок. Обзор административной и арбитражной практики. Способы защиты прав и законных интересов участников процедуры закупки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качеством закупок»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Горбашко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Летюхин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Четыркина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https://urait.ru/bcode/450876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Курочкина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978-5-534-07316-4.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https://urait.ru/bcode/451487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Тебекин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https://urait.ru/bcode/447092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2023-2024_ФГОС3++2023_Бак-ОФО-ТД(ОиУЗД)(23)_plx_Управление качеством закупок</dc:title>
  <dc:creator>FastReport.NET</dc:creator>
</cp:coreProperties>
</file>